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49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36"/>
        <w:gridCol w:w="768"/>
        <w:gridCol w:w="5395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495" w:type="dxa"/>
            <w:gridSpan w:val="5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  <w:t>丽江师范高等专科学校食堂食材配送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eastAsia="zh-CN"/>
              </w:rPr>
              <w:t>企业遴选</w:t>
            </w:r>
          </w:p>
          <w:p>
            <w:pPr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  <w:t>综合评分表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序号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评审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因素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分值</w:t>
            </w: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评分标准</w:t>
            </w:r>
          </w:p>
        </w:tc>
        <w:tc>
          <w:tcPr>
            <w:tcW w:w="1029" w:type="dxa"/>
          </w:tcPr>
          <w:p>
            <w:pPr>
              <w:widowControl/>
              <w:ind w:firstLine="240" w:firstLineChars="100"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46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1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企业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资质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10分</w:t>
            </w: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1.企业注册资金在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100万元及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以下，计2分；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300万元及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以下，计3分；500万元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及以下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，计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500万元以上计5分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6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2.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提供无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违法经营及食品安全事故等不良记录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承诺书计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2分；没有提供计0分。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6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方正仿宋_GBK" w:hAnsi="仿宋_GB2312" w:eastAsia="方正仿宋_GBK" w:cs="仿宋_GB2312"/>
                <w:sz w:val="24"/>
                <w:szCs w:val="20"/>
                <w:lang w:val="en-US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3、有相关的储藏设备和配送设备（提供设备清单以及照片）,储藏、配送能力强计3分；一般的计2分；无储藏、配送能力计0分。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46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2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企业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业绩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20分</w:t>
            </w: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1.近三年内有高校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食堂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配送合同项目（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提供合同复印件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），计10分；有其他单位食堂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配送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合同项目（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提供合同复印件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），计6分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；目前暂无食堂配送经历但企业属于品牌经营，有较强储藏、配送能力计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5分，能力一般计3分，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无能力</w:t>
            </w:r>
            <w:bookmarkStart w:id="0" w:name="_GoBack"/>
            <w:bookmarkEnd w:id="0"/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0分。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6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 xml:space="preserve">2.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提供近期税务管理部门出具的纳税证明和社保部门出具的社保证明，完整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的计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；提供部分的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；没有提供的计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0分。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46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3.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提供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配送企业介绍，近三年业务经营情况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材料（若为新成立企业，提供成立至今经营情况）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，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详细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7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分；一般计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；没有提供计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0分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6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3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仿宋_GB2312" w:eastAsia="方正仿宋_GBK" w:cs="仿宋_GB2312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理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30分</w:t>
            </w: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1、有配送设施设备安全操作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规范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及责任落实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的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，提供拟定的配送人员名单并提供相关人员健康证复印件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详细的计6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；一般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；没有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6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2.有完整、合理的配送检验检疫安全管理措施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：完整合理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6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；一般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；没有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6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3.有确保市场价格基本稳定和提高食材质量、服务水平的有效措施：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详细的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6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；一般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；没有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6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方正仿宋_GBK" w:hAnsi="仿宋_GB2312" w:eastAsia="方正仿宋_GBK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  <w:shd w:val="clear" w:color="auto" w:fill="FFFFFF"/>
              </w:rPr>
              <w:t>4.有突发事件应急预案，程序清楚，保障有力</w:t>
            </w: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的：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优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秀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6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；一般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；没有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6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5、提供针对我校的详细配送方案及服务承诺：</w:t>
            </w: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  <w:shd w:val="clear" w:color="auto" w:fill="FFFFFF"/>
              </w:rPr>
              <w:t>优</w:t>
            </w: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秀</w:t>
            </w: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  <w:shd w:val="clear" w:color="auto" w:fill="FFFFFF"/>
              </w:rPr>
              <w:t>计6分，良计4分，一般计2分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现场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问答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10分</w:t>
            </w: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default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评委就食堂配送过程及企业管理相关问题进行发问，能准确回答，熟知流程的得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10分；一般的得5分，不熟悉流程管理回答不出的计0分。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承 诺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10分</w:t>
            </w: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1.有配送食材卫生安全承诺，计4分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2.有配送的食材价格低于市场价2%的,价格稳定、质价相符、量价相符、计4分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default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3.有配送工作人员遵守校纪校规和优良服务的承诺，计2分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；以上承诺均没有计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0分。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实地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考察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20分</w:t>
            </w:r>
          </w:p>
        </w:tc>
        <w:tc>
          <w:tcPr>
            <w:tcW w:w="539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学校组织相关人员对前来接受考核的配送企业进行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eastAsia="zh-CN"/>
              </w:rPr>
              <w:t>实地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考察及进行综合评价：满意20分；一般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  <w:lang w:val="en-US" w:eastAsia="zh-CN"/>
              </w:rPr>
              <w:t>10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0"/>
              </w:rPr>
              <w:t>分；不满意0分。</w:t>
            </w:r>
          </w:p>
        </w:tc>
        <w:tc>
          <w:tcPr>
            <w:tcW w:w="1029" w:type="dxa"/>
          </w:tcPr>
          <w:p>
            <w:pPr>
              <w:widowControl/>
              <w:jc w:val="left"/>
              <w:rPr>
                <w:rFonts w:ascii="方正仿宋_GBK" w:hAnsi="仿宋_GB2312" w:eastAsia="方正仿宋_GBK" w:cs="仿宋_GB2312"/>
                <w:sz w:val="24"/>
                <w:szCs w:val="20"/>
              </w:rPr>
            </w:pPr>
          </w:p>
        </w:tc>
      </w:tr>
    </w:tbl>
    <w:p>
      <w:pPr>
        <w:rPr>
          <w:rFonts w:ascii="方正仿宋_GBK" w:eastAsia="方正仿宋_GBK"/>
          <w:b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440"/>
    <w:rsid w:val="00036698"/>
    <w:rsid w:val="000E6773"/>
    <w:rsid w:val="002C3E03"/>
    <w:rsid w:val="0042781D"/>
    <w:rsid w:val="005159FC"/>
    <w:rsid w:val="006A69DA"/>
    <w:rsid w:val="00881642"/>
    <w:rsid w:val="0090532B"/>
    <w:rsid w:val="00A933A9"/>
    <w:rsid w:val="00B559E0"/>
    <w:rsid w:val="00B57A4D"/>
    <w:rsid w:val="00B63541"/>
    <w:rsid w:val="00D13E10"/>
    <w:rsid w:val="00E67440"/>
    <w:rsid w:val="00F15E4D"/>
    <w:rsid w:val="00F571F7"/>
    <w:rsid w:val="00F57B78"/>
    <w:rsid w:val="01B826CF"/>
    <w:rsid w:val="128F093C"/>
    <w:rsid w:val="14CA145B"/>
    <w:rsid w:val="15C75EF7"/>
    <w:rsid w:val="23815DF8"/>
    <w:rsid w:val="321C398B"/>
    <w:rsid w:val="3D0517D1"/>
    <w:rsid w:val="51F55C27"/>
    <w:rsid w:val="52DE223A"/>
    <w:rsid w:val="586B7E3C"/>
    <w:rsid w:val="5EE44E80"/>
    <w:rsid w:val="66087DD4"/>
    <w:rsid w:val="69C76A11"/>
    <w:rsid w:val="7C8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622</Characters>
  <Lines>5</Lines>
  <Paragraphs>1</Paragraphs>
  <TotalTime>10</TotalTime>
  <ScaleCrop>false</ScaleCrop>
  <LinksUpToDate>false</LinksUpToDate>
  <CharactersWithSpaces>730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2019-09-19T07:00:00Z</dcterms:created>
  <dc:creator>lenovo</dc:creator>
  <cp:lastModifiedBy>璐妈</cp:lastModifiedBy>
  <cp:lastPrinted>2019-09-17T08:26:00Z</cp:lastPrinted>
  <dcterms:modified xsi:type="dcterms:W3CDTF">2019-12-10T01:27:34Z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